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2B69" w14:textId="3E30F376" w:rsidR="009A0AFA" w:rsidRPr="009E281D" w:rsidRDefault="009E281D" w:rsidP="00925D8C">
      <w:pPr>
        <w:jc w:val="center"/>
        <w:rPr>
          <w:color w:val="365F91" w:themeColor="accent1" w:themeShade="BF"/>
          <w:sz w:val="28"/>
          <w:szCs w:val="28"/>
        </w:rPr>
      </w:pPr>
      <w:r>
        <w:rPr>
          <w:rFonts w:ascii="Arial" w:hAnsi="Arial"/>
          <w:b/>
          <w:color w:val="365F91" w:themeColor="accent1" w:themeShade="BF"/>
          <w:sz w:val="28"/>
          <w:szCs w:val="28"/>
        </w:rPr>
        <w:br/>
      </w:r>
      <w:r>
        <w:rPr>
          <w:rFonts w:ascii="Arial" w:hAnsi="Arial"/>
          <w:b/>
          <w:color w:val="365F91" w:themeColor="accent1" w:themeShade="BF"/>
          <w:sz w:val="28"/>
          <w:szCs w:val="28"/>
        </w:rPr>
        <w:br/>
      </w:r>
      <w:r>
        <w:rPr>
          <w:rFonts w:ascii="Arial" w:hAnsi="Arial"/>
          <w:b/>
          <w:color w:val="365F91" w:themeColor="accent1" w:themeShade="BF"/>
          <w:sz w:val="28"/>
          <w:szCs w:val="28"/>
        </w:rPr>
        <w:br/>
      </w:r>
      <w:r>
        <w:rPr>
          <w:rFonts w:ascii="Arial" w:hAnsi="Arial"/>
          <w:b/>
          <w:color w:val="365F91" w:themeColor="accent1" w:themeShade="BF"/>
          <w:sz w:val="28"/>
          <w:szCs w:val="28"/>
        </w:rPr>
        <w:br/>
      </w:r>
      <w:r w:rsidRPr="009E281D">
        <w:rPr>
          <w:rFonts w:ascii="Arial" w:hAnsi="Arial"/>
          <w:b/>
          <w:color w:val="365F91" w:themeColor="accent1" w:themeShade="BF"/>
          <w:sz w:val="28"/>
          <w:szCs w:val="28"/>
        </w:rPr>
        <w:t>Why 2027</w:t>
      </w:r>
      <w:r w:rsidR="00925D8C">
        <w:rPr>
          <w:rFonts w:ascii="Arial" w:hAnsi="Arial"/>
          <w:b/>
          <w:color w:val="365F91" w:themeColor="accent1" w:themeShade="BF"/>
          <w:sz w:val="28"/>
          <w:szCs w:val="28"/>
        </w:rPr>
        <w:t xml:space="preserve"> - </w:t>
      </w:r>
      <w:r w:rsidRPr="009E281D">
        <w:rPr>
          <w:rFonts w:ascii="Arial" w:hAnsi="Arial"/>
          <w:b/>
          <w:color w:val="365F91" w:themeColor="accent1" w:themeShade="BF"/>
          <w:sz w:val="28"/>
          <w:szCs w:val="28"/>
        </w:rPr>
        <w:t>2030 Is the Strategic Moment</w:t>
      </w:r>
    </w:p>
    <w:p w14:paraId="344F17EA" w14:textId="76F8D134" w:rsidR="009A0AFA" w:rsidRDefault="00925D8C">
      <w:r>
        <w:rPr>
          <w:rFonts w:ascii="Arial" w:hAnsi="Arial"/>
          <w:b/>
          <w:sz w:val="24"/>
        </w:rPr>
        <w:br/>
        <w:t>Context</w:t>
      </w:r>
    </w:p>
    <w:p w14:paraId="59552B65" w14:textId="3D2B54D5" w:rsidR="009A0AFA" w:rsidRDefault="00000000">
      <w:r>
        <w:rPr>
          <w:rFonts w:ascii="Arial" w:hAnsi="Arial"/>
        </w:rPr>
        <w:t>The Eviana TOA DP Capital Partnership is timed deliberately. It aligns Development Permit approval with the 2026</w:t>
      </w:r>
      <w:r w:rsidR="009E281D">
        <w:rPr>
          <w:rFonts w:ascii="Arial" w:hAnsi="Arial"/>
        </w:rPr>
        <w:t xml:space="preserve"> - </w:t>
      </w:r>
      <w:r>
        <w:rPr>
          <w:rFonts w:ascii="Arial" w:hAnsi="Arial"/>
        </w:rPr>
        <w:t>2027 macro window, when multiple high-probability forces converge to support condo pricing, presale absorption, and capital flows in Metro Vancouver. This timing is not speculative; it is grounded in visible policy timelines, interest rate cycles, supply constraints, and TOA legislation already in place.</w:t>
      </w:r>
    </w:p>
    <w:p w14:paraId="336EB528" w14:textId="77777777" w:rsidR="009A0AFA" w:rsidRPr="00925D8C" w:rsidRDefault="00000000">
      <w:pPr>
        <w:rPr>
          <w:color w:val="365F91" w:themeColor="accent1" w:themeShade="BF"/>
        </w:rPr>
      </w:pPr>
      <w:r w:rsidRPr="00925D8C">
        <w:rPr>
          <w:rFonts w:ascii="Arial" w:hAnsi="Arial"/>
          <w:b/>
          <w:color w:val="365F91" w:themeColor="accent1" w:themeShade="BF"/>
          <w:sz w:val="24"/>
        </w:rPr>
        <w:t>Key Drivers for 2027</w:t>
      </w:r>
    </w:p>
    <w:p w14:paraId="392895D9" w14:textId="77777777" w:rsidR="009A0AFA" w:rsidRDefault="00000000">
      <w:r>
        <w:rPr>
          <w:rFonts w:ascii="Arial" w:hAnsi="Arial"/>
          <w:b/>
          <w:sz w:val="24"/>
        </w:rPr>
        <w:t>Interest Rate Path</w:t>
      </w:r>
    </w:p>
    <w:p w14:paraId="65098943" w14:textId="7294B9B6" w:rsidR="009A0AFA" w:rsidRDefault="00000000">
      <w:r>
        <w:rPr>
          <w:rFonts w:ascii="Arial" w:hAnsi="Arial"/>
        </w:rPr>
        <w:t>Central banks are expected to normalize interest rates downward through 202</w:t>
      </w:r>
      <w:r w:rsidR="00925D8C">
        <w:rPr>
          <w:rFonts w:ascii="Arial" w:hAnsi="Arial"/>
        </w:rPr>
        <w:t>6</w:t>
      </w:r>
      <w:r w:rsidR="009E281D">
        <w:rPr>
          <w:rFonts w:ascii="Arial" w:hAnsi="Arial"/>
        </w:rPr>
        <w:t xml:space="preserve"> - </w:t>
      </w:r>
      <w:r>
        <w:rPr>
          <w:rFonts w:ascii="Arial" w:hAnsi="Arial"/>
        </w:rPr>
        <w:t>2027. Lower financing costs increase purchasing power for end-buyers and improve construction feasibility. Historically, rate normalization accelerates presale velocity and raises achievable pricing for well-located projects.</w:t>
      </w:r>
      <w:r w:rsidR="007A0463">
        <w:rPr>
          <w:rFonts w:ascii="Arial" w:hAnsi="Arial"/>
        </w:rPr>
        <w:br/>
      </w:r>
      <w:r w:rsidR="007A0463">
        <w:rPr>
          <w:rFonts w:ascii="Arial" w:hAnsi="Arial"/>
        </w:rPr>
        <w:br/>
      </w:r>
      <w:r w:rsidR="007A0463">
        <w:rPr>
          <w:rFonts w:ascii="Arial" w:hAnsi="Arial"/>
          <w:noProof/>
        </w:rPr>
        <w:drawing>
          <wp:inline distT="0" distB="0" distL="0" distR="0" wp14:anchorId="4EA57B3E" wp14:editId="11513AF2">
            <wp:extent cx="5381625" cy="3552825"/>
            <wp:effectExtent l="0" t="0" r="9525" b="9525"/>
            <wp:docPr id="40181679" name="Picture 2" descr="A graph showing the growth of a number of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1679" name="Picture 2" descr="A graph showing the growth of a number of years"/>
                    <pic:cNvPicPr/>
                  </pic:nvPicPr>
                  <pic:blipFill>
                    <a:blip r:embed="rId8"/>
                    <a:stretch>
                      <a:fillRect/>
                    </a:stretch>
                  </pic:blipFill>
                  <pic:spPr>
                    <a:xfrm>
                      <a:off x="0" y="0"/>
                      <a:ext cx="5381625" cy="3552825"/>
                    </a:xfrm>
                    <a:prstGeom prst="rect">
                      <a:avLst/>
                    </a:prstGeom>
                  </pic:spPr>
                </pic:pic>
              </a:graphicData>
            </a:graphic>
          </wp:inline>
        </w:drawing>
      </w:r>
      <w:r w:rsidR="007A0463">
        <w:rPr>
          <w:rFonts w:ascii="Arial" w:hAnsi="Arial"/>
        </w:rPr>
        <w:br/>
      </w:r>
    </w:p>
    <w:p w14:paraId="2289DE8A" w14:textId="77777777" w:rsidR="007A0463" w:rsidRDefault="007A0463">
      <w:pPr>
        <w:rPr>
          <w:rFonts w:ascii="Arial" w:hAnsi="Arial"/>
          <w:b/>
          <w:sz w:val="24"/>
        </w:rPr>
      </w:pPr>
    </w:p>
    <w:p w14:paraId="75D52610" w14:textId="77777777" w:rsidR="007A0463" w:rsidRDefault="007A0463">
      <w:pPr>
        <w:rPr>
          <w:rFonts w:ascii="Arial" w:hAnsi="Arial"/>
          <w:b/>
          <w:sz w:val="24"/>
        </w:rPr>
      </w:pPr>
    </w:p>
    <w:p w14:paraId="39E3AA9A" w14:textId="0D2226AE" w:rsidR="009A0AFA" w:rsidRDefault="00000000">
      <w:r>
        <w:rPr>
          <w:rFonts w:ascii="Arial" w:hAnsi="Arial"/>
          <w:b/>
          <w:sz w:val="24"/>
        </w:rPr>
        <w:t>Foreign Buyer Policy Reset (January 2027)</w:t>
      </w:r>
    </w:p>
    <w:p w14:paraId="6E14B8EC" w14:textId="07455BA2" w:rsidR="009A0AFA" w:rsidRDefault="00000000">
      <w:r>
        <w:rPr>
          <w:rFonts w:ascii="Arial" w:hAnsi="Arial"/>
        </w:rPr>
        <w:t>Current federal and BC restrictions on foreign buyers are time-limited. If not extended, they ease or expire in January 2027. When international capital re-enters, it concentrates on transit</w:t>
      </w:r>
      <w:r w:rsidR="00925D8C">
        <w:rPr>
          <w:rFonts w:ascii="Arial" w:hAnsi="Arial"/>
        </w:rPr>
        <w:t xml:space="preserve"> </w:t>
      </w:r>
      <w:r>
        <w:rPr>
          <w:rFonts w:ascii="Arial" w:hAnsi="Arial"/>
        </w:rPr>
        <w:t>-</w:t>
      </w:r>
      <w:r w:rsidR="00925D8C">
        <w:rPr>
          <w:rFonts w:ascii="Arial" w:hAnsi="Arial"/>
        </w:rPr>
        <w:t xml:space="preserve"> </w:t>
      </w:r>
      <w:r>
        <w:rPr>
          <w:rFonts w:ascii="Arial" w:hAnsi="Arial"/>
        </w:rPr>
        <w:t>connected nodes, brand-aligned projects, and supply-constrained corridors</w:t>
      </w:r>
      <w:r w:rsidR="009E281D">
        <w:rPr>
          <w:rFonts w:ascii="Arial" w:hAnsi="Arial"/>
        </w:rPr>
        <w:t xml:space="preserve">, </w:t>
      </w:r>
      <w:r>
        <w:rPr>
          <w:rFonts w:ascii="Arial" w:hAnsi="Arial"/>
        </w:rPr>
        <w:t xml:space="preserve">all of which describe </w:t>
      </w:r>
      <w:proofErr w:type="spellStart"/>
      <w:r>
        <w:rPr>
          <w:rFonts w:ascii="Arial" w:hAnsi="Arial"/>
        </w:rPr>
        <w:t>Burquitlam’s</w:t>
      </w:r>
      <w:proofErr w:type="spellEnd"/>
      <w:r>
        <w:rPr>
          <w:rFonts w:ascii="Arial" w:hAnsi="Arial"/>
        </w:rPr>
        <w:t xml:space="preserve"> TOA zone.</w:t>
      </w:r>
    </w:p>
    <w:p w14:paraId="2C0733EA" w14:textId="77777777" w:rsidR="009A0AFA" w:rsidRDefault="00000000">
      <w:r>
        <w:rPr>
          <w:rFonts w:ascii="Arial" w:hAnsi="Arial"/>
          <w:b/>
          <w:sz w:val="24"/>
        </w:rPr>
        <w:t>Structural Housing Undersupply</w:t>
      </w:r>
    </w:p>
    <w:p w14:paraId="2B5F6D5A" w14:textId="4DBF49BA" w:rsidR="009A0AFA" w:rsidRPr="00FA42BC" w:rsidRDefault="00000000">
      <w:pPr>
        <w:rPr>
          <w:rFonts w:ascii="Arial" w:hAnsi="Arial" w:cs="Arial"/>
        </w:rPr>
      </w:pPr>
      <w:r>
        <w:rPr>
          <w:rFonts w:ascii="Arial" w:hAnsi="Arial"/>
        </w:rPr>
        <w:t>Metro Vancouver continues to underbuild relative to population growth. High construction costs and financing rates have delayed many competing projects. By 2027, the market will feel the impact of this supply gap through stronger pricing and record absorption for mid-rise homes near transit.</w:t>
      </w:r>
      <w:r w:rsidR="00FA42BC">
        <w:rPr>
          <w:rFonts w:ascii="Arial" w:hAnsi="Arial"/>
        </w:rPr>
        <w:br/>
      </w:r>
      <w:r w:rsidR="00FA42BC">
        <w:rPr>
          <w:rFonts w:ascii="Arial" w:hAnsi="Arial"/>
        </w:rPr>
        <w:br/>
      </w:r>
      <w:r w:rsidR="00FA42BC" w:rsidRPr="00FA42BC">
        <w:rPr>
          <w:rFonts w:ascii="Arial" w:hAnsi="Arial" w:cs="Arial"/>
        </w:rPr>
        <w:t>This TOA site benefits further from its proximity to SFU, Lougheed Centre, and multiple transit-linked employment clusters, reinforcing demand from students, professionals, downsizers, and rental tenants.</w:t>
      </w:r>
    </w:p>
    <w:p w14:paraId="06F2EB44" w14:textId="315001AF" w:rsidR="009A0AFA" w:rsidRDefault="00FA42BC">
      <w:r>
        <w:rPr>
          <w:rFonts w:ascii="Arial" w:hAnsi="Arial"/>
          <w:b/>
          <w:sz w:val="24"/>
        </w:rPr>
        <w:br/>
        <w:t>TOA (Transit-Oriented Area) Policy Advantage</w:t>
      </w:r>
    </w:p>
    <w:p w14:paraId="303853D0" w14:textId="77777777" w:rsidR="009A0AFA" w:rsidRDefault="00000000">
      <w:r>
        <w:rPr>
          <w:rFonts w:ascii="Arial" w:hAnsi="Arial"/>
        </w:rPr>
        <w:t>Provincial TOA policy prioritizes housing density around SkyTrain stations and requires municipalities to support these corridors. This reduces political risk, accelerates approvals, and increases lender confidence. A DP-approved TOA site in 2026 is positioned as a first-priority project type for both capital and future buyers.</w:t>
      </w:r>
    </w:p>
    <w:p w14:paraId="7BF430AB" w14:textId="614B7697" w:rsidR="009A0AFA" w:rsidRDefault="009E281D">
      <w:r>
        <w:rPr>
          <w:rFonts w:ascii="Arial" w:hAnsi="Arial"/>
          <w:b/>
          <w:sz w:val="24"/>
        </w:rPr>
        <w:br/>
        <w:t>Why Align DP for 2026</w:t>
      </w:r>
    </w:p>
    <w:p w14:paraId="61FC15B7" w14:textId="77777777" w:rsidR="009A0AFA" w:rsidRDefault="00000000">
      <w:r>
        <w:rPr>
          <w:rFonts w:ascii="Arial" w:hAnsi="Arial"/>
        </w:rPr>
        <w:t>Completing DP around 2026 creates three structural advantages:</w:t>
      </w:r>
    </w:p>
    <w:p w14:paraId="1EDA0897" w14:textId="56688AD5" w:rsidR="009A0AFA" w:rsidRDefault="00000000">
      <w:r>
        <w:rPr>
          <w:rFonts w:ascii="Arial" w:hAnsi="Arial"/>
        </w:rPr>
        <w:t>1. Crystallized DP Land Uplift</w:t>
      </w:r>
      <w:r w:rsidR="009E281D">
        <w:rPr>
          <w:rFonts w:ascii="Arial" w:hAnsi="Arial"/>
        </w:rPr>
        <w:t>:</w:t>
      </w:r>
      <w:r>
        <w:rPr>
          <w:rFonts w:ascii="Arial" w:hAnsi="Arial"/>
        </w:rPr>
        <w:t xml:space="preserve"> The increase in land value occurs before the broader market acceleration.</w:t>
      </w:r>
    </w:p>
    <w:p w14:paraId="2D884D0B" w14:textId="23D5F922" w:rsidR="009A0AFA" w:rsidRDefault="00000000">
      <w:r>
        <w:rPr>
          <w:rFonts w:ascii="Arial" w:hAnsi="Arial"/>
        </w:rPr>
        <w:t>2. Strategic Optionality</w:t>
      </w:r>
      <w:r w:rsidR="009E281D">
        <w:rPr>
          <w:rFonts w:ascii="Arial" w:hAnsi="Arial"/>
        </w:rPr>
        <w:t>:</w:t>
      </w:r>
      <w:r>
        <w:rPr>
          <w:rFonts w:ascii="Arial" w:hAnsi="Arial"/>
        </w:rPr>
        <w:t xml:space="preserve"> At DP approval, the investor may sell the DP-approved site, launch presales, or J</w:t>
      </w:r>
      <w:r w:rsidR="00925D8C">
        <w:rPr>
          <w:rFonts w:ascii="Arial" w:hAnsi="Arial"/>
        </w:rPr>
        <w:t xml:space="preserve">oint </w:t>
      </w:r>
      <w:r>
        <w:rPr>
          <w:rFonts w:ascii="Arial" w:hAnsi="Arial"/>
        </w:rPr>
        <w:t>V</w:t>
      </w:r>
      <w:r w:rsidR="00925D8C">
        <w:rPr>
          <w:rFonts w:ascii="Arial" w:hAnsi="Arial"/>
        </w:rPr>
        <w:t>enture</w:t>
      </w:r>
      <w:r>
        <w:rPr>
          <w:rFonts w:ascii="Arial" w:hAnsi="Arial"/>
        </w:rPr>
        <w:t xml:space="preserve"> with a builder without losing economic leadership.</w:t>
      </w:r>
    </w:p>
    <w:p w14:paraId="61005DB6" w14:textId="77777777" w:rsidR="009A0AFA" w:rsidRDefault="00000000">
      <w:pPr>
        <w:rPr>
          <w:rFonts w:ascii="Arial" w:hAnsi="Arial"/>
        </w:rPr>
      </w:pPr>
      <w:r>
        <w:rPr>
          <w:rFonts w:ascii="Arial" w:hAnsi="Arial"/>
        </w:rPr>
        <w:t>3. Competitive Timing Advantage – Competing projects will still be in rezoning or DP queues; this project will be ready, not waiting.</w:t>
      </w:r>
    </w:p>
    <w:p w14:paraId="5B9EA242" w14:textId="6AF86BAE" w:rsidR="00800075" w:rsidRDefault="00800075">
      <w:pPr>
        <w:rPr>
          <w:rFonts w:ascii="Arial" w:hAnsi="Arial" w:cs="Arial"/>
        </w:rPr>
      </w:pPr>
      <w:r>
        <w:rPr>
          <w:rFonts w:ascii="Arial" w:hAnsi="Arial"/>
        </w:rPr>
        <w:t xml:space="preserve">4. </w:t>
      </w:r>
      <w:r>
        <w:t>T</w:t>
      </w:r>
      <w:r w:rsidRPr="00800075">
        <w:rPr>
          <w:rFonts w:ascii="Arial" w:hAnsi="Arial" w:cs="Arial"/>
        </w:rPr>
        <w:t>he assembly is already positioned in the City of Coquitlam’s Development Permit queue, ensuring it advances through the established review stream and is not subject to new application delays.</w:t>
      </w:r>
    </w:p>
    <w:p w14:paraId="48F6EEFC" w14:textId="77777777" w:rsidR="007A0463" w:rsidRDefault="007A0463">
      <w:pPr>
        <w:rPr>
          <w:rFonts w:ascii="Arial" w:hAnsi="Arial" w:cs="Arial"/>
        </w:rPr>
      </w:pPr>
    </w:p>
    <w:p w14:paraId="2C858A8E" w14:textId="77777777" w:rsidR="007A0463" w:rsidRDefault="007A0463">
      <w:pPr>
        <w:rPr>
          <w:rFonts w:ascii="Arial" w:hAnsi="Arial" w:cs="Arial"/>
        </w:rPr>
      </w:pPr>
    </w:p>
    <w:p w14:paraId="093E5D1C" w14:textId="77777777" w:rsidR="007A0463" w:rsidRPr="00800075" w:rsidRDefault="007A0463">
      <w:pPr>
        <w:rPr>
          <w:rFonts w:ascii="Arial" w:hAnsi="Arial" w:cs="Arial"/>
        </w:rPr>
      </w:pPr>
    </w:p>
    <w:p w14:paraId="6617EA3A" w14:textId="77777777" w:rsidR="009A0AFA" w:rsidRDefault="00000000">
      <w:r>
        <w:rPr>
          <w:rFonts w:ascii="Arial" w:hAnsi="Arial"/>
          <w:b/>
          <w:sz w:val="24"/>
        </w:rPr>
        <w:t>Implications for the Eviana DP Capital Investor</w:t>
      </w:r>
    </w:p>
    <w:p w14:paraId="3E81AE7A" w14:textId="3B7C55E7" w:rsidR="009A0AFA" w:rsidRDefault="00000000">
      <w:r>
        <w:rPr>
          <w:rFonts w:ascii="Arial" w:hAnsi="Arial"/>
        </w:rPr>
        <w:t>• You are aligning with a visible, policy-backed, high-probability window</w:t>
      </w:r>
      <w:r w:rsidR="009E281D">
        <w:rPr>
          <w:rFonts w:ascii="Arial" w:hAnsi="Arial"/>
        </w:rPr>
        <w:t xml:space="preserve">, </w:t>
      </w:r>
      <w:r>
        <w:rPr>
          <w:rFonts w:ascii="Arial" w:hAnsi="Arial"/>
        </w:rPr>
        <w:t>not speculating on an unknown cycle.</w:t>
      </w:r>
    </w:p>
    <w:p w14:paraId="100F5E62" w14:textId="77777777" w:rsidR="009A0AFA" w:rsidRDefault="00000000">
      <w:r>
        <w:rPr>
          <w:rFonts w:ascii="Arial" w:hAnsi="Arial"/>
        </w:rPr>
        <w:t>• TOA designation and DP-ready status create a defensible risk-adjusted profile in an undersupplied node.</w:t>
      </w:r>
    </w:p>
    <w:p w14:paraId="38A483D5" w14:textId="77777777" w:rsidR="009A0AFA" w:rsidRDefault="00000000">
      <w:r>
        <w:rPr>
          <w:rFonts w:ascii="Arial" w:hAnsi="Arial"/>
        </w:rPr>
        <w:t>• Your 80% share of development profit is tied to a period where structural and macro tailwinds are strongest.</w:t>
      </w:r>
    </w:p>
    <w:p w14:paraId="1A625EFE" w14:textId="23328238" w:rsidR="009A0AFA" w:rsidRDefault="00000000">
      <w:r>
        <w:rPr>
          <w:rFonts w:ascii="Arial" w:hAnsi="Arial"/>
        </w:rPr>
        <w:t>• Participation now places you ahead of the 2027</w:t>
      </w:r>
      <w:r w:rsidR="009E281D">
        <w:rPr>
          <w:rFonts w:ascii="Arial" w:hAnsi="Arial"/>
        </w:rPr>
        <w:t xml:space="preserve"> - </w:t>
      </w:r>
      <w:r>
        <w:rPr>
          <w:rFonts w:ascii="Arial" w:hAnsi="Arial"/>
        </w:rPr>
        <w:t>2030 wave, not behind it.</w:t>
      </w:r>
    </w:p>
    <w:p w14:paraId="4AE2FD3B" w14:textId="77777777" w:rsidR="009A0AFA" w:rsidRDefault="00000000">
      <w:r>
        <w:rPr>
          <w:rFonts w:ascii="Arial" w:hAnsi="Arial"/>
          <w:b/>
          <w:sz w:val="24"/>
        </w:rPr>
        <w:t>Bottom Line</w:t>
      </w:r>
    </w:p>
    <w:p w14:paraId="01199ACD" w14:textId="70937794" w:rsidR="009A0AFA" w:rsidRDefault="00000000">
      <w:r>
        <w:rPr>
          <w:rFonts w:ascii="Arial" w:hAnsi="Arial"/>
        </w:rPr>
        <w:t>This timing is engineered</w:t>
      </w:r>
      <w:r w:rsidR="009E281D">
        <w:rPr>
          <w:rFonts w:ascii="Arial" w:hAnsi="Arial"/>
        </w:rPr>
        <w:t xml:space="preserve"> </w:t>
      </w:r>
      <w:r>
        <w:rPr>
          <w:rFonts w:ascii="Arial" w:hAnsi="Arial"/>
        </w:rPr>
        <w:t>where policy, rates, supply, and capital flows converge. This is where the investor gains maximum leverage with minimal ambiguity.</w:t>
      </w:r>
    </w:p>
    <w:sectPr w:rsidR="009A0AFA"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E85F" w14:textId="77777777" w:rsidR="00C907C9" w:rsidRDefault="00C907C9" w:rsidP="009E281D">
      <w:pPr>
        <w:spacing w:after="0" w:line="240" w:lineRule="auto"/>
      </w:pPr>
      <w:r>
        <w:separator/>
      </w:r>
    </w:p>
  </w:endnote>
  <w:endnote w:type="continuationSeparator" w:id="0">
    <w:p w14:paraId="692E0695" w14:textId="77777777" w:rsidR="00C907C9" w:rsidRDefault="00C907C9" w:rsidP="009E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523C" w14:textId="77777777" w:rsidR="00C907C9" w:rsidRDefault="00C907C9" w:rsidP="009E281D">
      <w:pPr>
        <w:spacing w:after="0" w:line="240" w:lineRule="auto"/>
      </w:pPr>
      <w:r>
        <w:separator/>
      </w:r>
    </w:p>
  </w:footnote>
  <w:footnote w:type="continuationSeparator" w:id="0">
    <w:p w14:paraId="35F409A7" w14:textId="77777777" w:rsidR="00C907C9" w:rsidRDefault="00C907C9" w:rsidP="009E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A8B8" w14:textId="189795B0" w:rsidR="009E281D" w:rsidRDefault="009E281D">
    <w:pPr>
      <w:pStyle w:val="Header"/>
    </w:pPr>
    <w:r>
      <w:rPr>
        <w:rFonts w:ascii="Times New Roman"/>
        <w:noProof/>
        <w:sz w:val="17"/>
      </w:rPr>
      <mc:AlternateContent>
        <mc:Choice Requires="wpg">
          <w:drawing>
            <wp:anchor distT="0" distB="0" distL="0" distR="0" simplePos="0" relativeHeight="251659264" behindDoc="0" locked="0" layoutInCell="1" allowOverlap="1" wp14:anchorId="0A563684" wp14:editId="2876148F">
              <wp:simplePos x="0" y="0"/>
              <wp:positionH relativeFrom="page">
                <wp:posOffset>1143000</wp:posOffset>
              </wp:positionH>
              <wp:positionV relativeFrom="page">
                <wp:posOffset>457200</wp:posOffset>
              </wp:positionV>
              <wp:extent cx="2257425" cy="76200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7425" cy="762000"/>
                        <a:chOff x="0" y="0"/>
                        <a:chExt cx="1285240" cy="762000"/>
                      </a:xfrm>
                    </wpg:grpSpPr>
                    <pic:pic xmlns:pic="http://schemas.openxmlformats.org/drawingml/2006/picture">
                      <pic:nvPicPr>
                        <pic:cNvPr id="2" name="Image 2"/>
                        <pic:cNvPicPr/>
                      </pic:nvPicPr>
                      <pic:blipFill>
                        <a:blip r:embed="rId1" cstate="print"/>
                        <a:stretch>
                          <a:fillRect/>
                        </a:stretch>
                      </pic:blipFill>
                      <pic:spPr>
                        <a:xfrm>
                          <a:off x="0" y="0"/>
                          <a:ext cx="1285151" cy="761997"/>
                        </a:xfrm>
                        <a:prstGeom prst="rect">
                          <a:avLst/>
                        </a:prstGeom>
                      </pic:spPr>
                    </pic:pic>
                    <wps:wsp>
                      <wps:cNvPr id="3" name="Textbox 3"/>
                      <wps:cNvSpPr txBox="1"/>
                      <wps:spPr>
                        <a:xfrm>
                          <a:off x="0" y="0"/>
                          <a:ext cx="1285240" cy="762000"/>
                        </a:xfrm>
                        <a:prstGeom prst="rect">
                          <a:avLst/>
                        </a:prstGeom>
                      </wps:spPr>
                      <wps:txbx>
                        <w:txbxContent>
                          <w:p w14:paraId="4862F5D7" w14:textId="77777777" w:rsidR="009E281D" w:rsidRDefault="009E281D" w:rsidP="009E281D">
                            <w:pPr>
                              <w:spacing w:before="76"/>
                              <w:rPr>
                                <w:rFonts w:ascii="Times New Roman"/>
                                <w:sz w:val="40"/>
                              </w:rPr>
                            </w:pPr>
                          </w:p>
                          <w:p w14:paraId="177E1D5D" w14:textId="77777777" w:rsidR="009E281D" w:rsidRDefault="009E281D" w:rsidP="009E281D">
                            <w:pPr>
                              <w:ind w:left="915"/>
                              <w:rPr>
                                <w:rFonts w:ascii="Cambria"/>
                                <w:b/>
                                <w:sz w:val="40"/>
                              </w:rPr>
                            </w:pPr>
                            <w:r>
                              <w:rPr>
                                <w:rFonts w:ascii="Cambria"/>
                                <w:b/>
                                <w:color w:val="365F91"/>
                                <w:spacing w:val="-2"/>
                                <w:sz w:val="40"/>
                              </w:rPr>
                              <w:t xml:space="preserve">Eviana Assets </w:t>
                            </w:r>
                          </w:p>
                        </w:txbxContent>
                      </wps:txbx>
                      <wps:bodyPr wrap="square" lIns="0" tIns="0" rIns="0" bIns="0" rtlCol="0">
                        <a:noAutofit/>
                      </wps:bodyPr>
                    </wps:wsp>
                  </wpg:wgp>
                </a:graphicData>
              </a:graphic>
              <wp14:sizeRelH relativeFrom="margin">
                <wp14:pctWidth>0</wp14:pctWidth>
              </wp14:sizeRelH>
            </wp:anchor>
          </w:drawing>
        </mc:Choice>
        <mc:Fallback>
          <w:pict>
            <v:group w14:anchorId="0A563684" id="Group 1" o:spid="_x0000_s1026" style="position:absolute;margin-left:90pt;margin-top:36pt;width:177.75pt;height:60pt;z-index:251659264;mso-wrap-distance-left:0;mso-wrap-distance-right:0;mso-position-horizontal-relative:page;mso-position-vertical-relative:page;mso-width-relative:margin" coordsize="12852,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2851;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3" o:spid="_x0000_s1028" type="#_x0000_t202" style="position:absolute;width:12852;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862F5D7" w14:textId="77777777" w:rsidR="009E281D" w:rsidRDefault="009E281D" w:rsidP="009E281D">
                      <w:pPr>
                        <w:spacing w:before="76"/>
                        <w:rPr>
                          <w:rFonts w:ascii="Times New Roman"/>
                          <w:sz w:val="40"/>
                        </w:rPr>
                      </w:pPr>
                    </w:p>
                    <w:p w14:paraId="177E1D5D" w14:textId="77777777" w:rsidR="009E281D" w:rsidRDefault="009E281D" w:rsidP="009E281D">
                      <w:pPr>
                        <w:ind w:left="915"/>
                        <w:rPr>
                          <w:rFonts w:ascii="Cambria"/>
                          <w:b/>
                          <w:sz w:val="40"/>
                        </w:rPr>
                      </w:pPr>
                      <w:r>
                        <w:rPr>
                          <w:rFonts w:ascii="Cambria"/>
                          <w:b/>
                          <w:color w:val="365F91"/>
                          <w:spacing w:val="-2"/>
                          <w:sz w:val="40"/>
                        </w:rPr>
                        <w:t xml:space="preserve">Eviana Assets </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1853359">
    <w:abstractNumId w:val="8"/>
  </w:num>
  <w:num w:numId="2" w16cid:durableId="454061290">
    <w:abstractNumId w:val="6"/>
  </w:num>
  <w:num w:numId="3" w16cid:durableId="1215390341">
    <w:abstractNumId w:val="5"/>
  </w:num>
  <w:num w:numId="4" w16cid:durableId="608898260">
    <w:abstractNumId w:val="4"/>
  </w:num>
  <w:num w:numId="5" w16cid:durableId="648678331">
    <w:abstractNumId w:val="7"/>
  </w:num>
  <w:num w:numId="6" w16cid:durableId="1068842078">
    <w:abstractNumId w:val="3"/>
  </w:num>
  <w:num w:numId="7" w16cid:durableId="2031255184">
    <w:abstractNumId w:val="2"/>
  </w:num>
  <w:num w:numId="8" w16cid:durableId="1261447456">
    <w:abstractNumId w:val="1"/>
  </w:num>
  <w:num w:numId="9" w16cid:durableId="46500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B27"/>
    <w:rsid w:val="0015074B"/>
    <w:rsid w:val="00170DE1"/>
    <w:rsid w:val="00186DA5"/>
    <w:rsid w:val="00284430"/>
    <w:rsid w:val="0029639D"/>
    <w:rsid w:val="00326F90"/>
    <w:rsid w:val="0064521E"/>
    <w:rsid w:val="007A0463"/>
    <w:rsid w:val="00800075"/>
    <w:rsid w:val="00925D8C"/>
    <w:rsid w:val="009A0AFA"/>
    <w:rsid w:val="009E281D"/>
    <w:rsid w:val="00AA1D8D"/>
    <w:rsid w:val="00B47730"/>
    <w:rsid w:val="00C907C9"/>
    <w:rsid w:val="00CB0664"/>
    <w:rsid w:val="00EB4BBE"/>
    <w:rsid w:val="00FA42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B1BA4"/>
  <w14:defaultImageDpi w14:val="300"/>
  <w15:docId w15:val="{A15298D4-A43D-4E74-8303-F5B807B7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saeed azarie</cp:lastModifiedBy>
  <cp:revision>5</cp:revision>
  <dcterms:created xsi:type="dcterms:W3CDTF">2025-11-18T09:19:00Z</dcterms:created>
  <dcterms:modified xsi:type="dcterms:W3CDTF">2025-11-22T22:49:00Z</dcterms:modified>
  <cp:category/>
</cp:coreProperties>
</file>